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44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附件一：</w:t>
      </w:r>
    </w:p>
    <w:p>
      <w:pPr>
        <w:jc w:val="center"/>
        <w:rPr>
          <w:rFonts w:hint="eastAsia" w:ascii="仿宋" w:hAnsi="仿宋" w:eastAsia="仿宋" w:cs="仿宋"/>
          <w:b/>
          <w:sz w:val="36"/>
          <w:szCs w:val="36"/>
          <w:lang w:val="zh-CN"/>
        </w:rPr>
      </w:pPr>
      <w:r>
        <w:rPr>
          <w:rFonts w:hint="eastAsia" w:ascii="仿宋" w:hAnsi="仿宋" w:eastAsia="仿宋" w:cs="仿宋"/>
          <w:b/>
          <w:sz w:val="36"/>
          <w:szCs w:val="36"/>
          <w:lang w:val="zh-CN"/>
        </w:rPr>
        <w:t>涉河行政审批批后监管情况单</w:t>
      </w:r>
    </w:p>
    <w:p>
      <w:pPr>
        <w:jc w:val="right"/>
        <w:rPr>
          <w:rFonts w:hint="eastAsia" w:ascii="仿宋" w:hAnsi="仿宋" w:eastAsia="仿宋" w:cs="仿宋"/>
          <w:b/>
          <w:sz w:val="36"/>
          <w:szCs w:val="36"/>
          <w:lang w:val="zh-CN"/>
        </w:rPr>
      </w:pPr>
      <w:r>
        <w:rPr>
          <w:rFonts w:hint="eastAsia" w:ascii="仿宋" w:hAnsi="仿宋" w:eastAsia="仿宋" w:cs="仿宋"/>
          <w:sz w:val="24"/>
        </w:rPr>
        <w:t xml:space="preserve">  填写</w:t>
      </w:r>
      <w:r>
        <w:rPr>
          <w:rFonts w:hint="eastAsia" w:ascii="仿宋" w:hAnsi="仿宋" w:eastAsia="仿宋" w:cs="仿宋"/>
          <w:bCs/>
          <w:sz w:val="24"/>
        </w:rPr>
        <w:t>时间：</w:t>
      </w:r>
      <w:r>
        <w:rPr>
          <w:rFonts w:hint="eastAsia" w:ascii="仿宋" w:hAnsi="仿宋" w:eastAsia="仿宋" w:cs="仿宋"/>
          <w:sz w:val="24"/>
        </w:rPr>
        <w:t xml:space="preserve">  2018  年10 月16日</w:t>
      </w:r>
    </w:p>
    <w:tbl>
      <w:tblPr>
        <w:tblStyle w:val="3"/>
        <w:tblW w:w="90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259"/>
        <w:gridCol w:w="1302"/>
        <w:gridCol w:w="1725"/>
        <w:gridCol w:w="662"/>
        <w:gridCol w:w="584"/>
        <w:gridCol w:w="2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9" w:type="dxa"/>
            <w:gridSpan w:val="2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申请项目名称</w:t>
            </w:r>
          </w:p>
        </w:tc>
        <w:tc>
          <w:tcPr>
            <w:tcW w:w="7139" w:type="dxa"/>
            <w:gridSpan w:val="5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（续批）杭州地铁5号线一期工程SG5-6标段西环河桥拆复建工程（201809007）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899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建设单位或业主</w:t>
            </w:r>
          </w:p>
        </w:tc>
        <w:tc>
          <w:tcPr>
            <w:tcW w:w="3027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杭州市地铁集团有限责任公司</w:t>
            </w:r>
          </w:p>
        </w:tc>
        <w:tc>
          <w:tcPr>
            <w:tcW w:w="1246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项目联系人及电话</w:t>
            </w:r>
          </w:p>
        </w:tc>
        <w:tc>
          <w:tcPr>
            <w:tcW w:w="2866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叶登</w:t>
            </w:r>
            <w:r>
              <w:rPr>
                <w:rFonts w:hint="eastAsia" w:ascii="仿宋" w:hAnsi="仿宋" w:eastAsia="仿宋" w:cs="仿宋"/>
                <w:bCs/>
                <w:szCs w:val="21"/>
              </w:rPr>
              <w:t>（建设单位），</w:t>
            </w:r>
            <w:r>
              <w:rPr>
                <w:rFonts w:hint="eastAsia" w:ascii="宋体" w:hAnsi="宋体"/>
                <w:szCs w:val="21"/>
              </w:rPr>
              <w:t>13169577191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9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涉及河道名称</w:t>
            </w:r>
          </w:p>
        </w:tc>
        <w:tc>
          <w:tcPr>
            <w:tcW w:w="3027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西环河</w:t>
            </w:r>
          </w:p>
        </w:tc>
        <w:tc>
          <w:tcPr>
            <w:tcW w:w="1246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具体地点</w:t>
            </w:r>
          </w:p>
        </w:tc>
        <w:tc>
          <w:tcPr>
            <w:tcW w:w="2866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萍水西街与紫荆花北路交叉口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9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受理时间</w:t>
            </w:r>
          </w:p>
        </w:tc>
        <w:tc>
          <w:tcPr>
            <w:tcW w:w="3027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2018.9.29</w:t>
            </w:r>
          </w:p>
        </w:tc>
        <w:tc>
          <w:tcPr>
            <w:tcW w:w="1246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要求办结时间</w:t>
            </w:r>
          </w:p>
        </w:tc>
        <w:tc>
          <w:tcPr>
            <w:tcW w:w="2866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2018.9.30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99" w:type="dxa"/>
            <w:gridSpan w:val="2"/>
            <w:tcBorders>
              <w:lef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决定书号</w:t>
            </w:r>
          </w:p>
        </w:tc>
        <w:tc>
          <w:tcPr>
            <w:tcW w:w="3027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ascii="仿宋" w:hAnsi="仿宋" w:eastAsia="仿宋" w:cs="仿宋"/>
                <w:bCs/>
                <w:szCs w:val="21"/>
              </w:rPr>
              <w:t>杭城管西河临（决）</w:t>
            </w:r>
            <w:r>
              <w:rPr>
                <w:rFonts w:hint="eastAsia" w:ascii="仿宋" w:hAnsi="仿宋" w:eastAsia="仿宋" w:cs="仿宋"/>
                <w:bCs/>
                <w:szCs w:val="21"/>
              </w:rPr>
              <w:t>201809006</w:t>
            </w:r>
            <w:r>
              <w:rPr>
                <w:rFonts w:ascii="仿宋" w:hAnsi="仿宋" w:eastAsia="仿宋" w:cs="仿宋"/>
                <w:bCs/>
                <w:szCs w:val="21"/>
              </w:rPr>
              <w:t>号</w:t>
            </w:r>
          </w:p>
        </w:tc>
        <w:tc>
          <w:tcPr>
            <w:tcW w:w="1246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许可期限</w:t>
            </w:r>
          </w:p>
        </w:tc>
        <w:tc>
          <w:tcPr>
            <w:tcW w:w="2866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 xml:space="preserve">2018.9.30起至 2019年2月28日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4" w:hRule="atLeast"/>
          <w:jc w:val="center"/>
        </w:trPr>
        <w:tc>
          <w:tcPr>
            <w:tcW w:w="640" w:type="dxa"/>
            <w:tcBorders>
              <w:left w:val="single" w:color="auto" w:sz="12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审</w:t>
            </w: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查</w:t>
            </w: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意</w:t>
            </w: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见</w:t>
            </w:r>
          </w:p>
        </w:tc>
        <w:tc>
          <w:tcPr>
            <w:tcW w:w="8398" w:type="dxa"/>
            <w:gridSpan w:val="6"/>
            <w:tcBorders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264" w:lineRule="auto"/>
              <w:ind w:firstLine="405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1、杭州市地铁集团有限责任公司因杭州地铁5号线一期工程SG5-6标段下穿西环河桥，西环河桥拆复建施工需临时占用西环河设置1座双侧围堰。双侧围堰均长30米，宽3.2米，西环河原河道宽26.58米，保留20.18米防汛、通航断面。拟再次申请</w:t>
            </w:r>
            <w:r>
              <w:rPr>
                <w:rFonts w:ascii="仿宋" w:hAnsi="仿宋" w:eastAsia="仿宋" w:cs="仿宋"/>
                <w:bCs/>
                <w:szCs w:val="21"/>
              </w:rPr>
              <w:t>临时占用期限至</w:t>
            </w:r>
            <w:r>
              <w:rPr>
                <w:rFonts w:hint="eastAsia" w:ascii="仿宋" w:hAnsi="仿宋" w:eastAsia="仿宋" w:cs="仿宋"/>
                <w:bCs/>
                <w:szCs w:val="21"/>
              </w:rPr>
              <w:t>2019年2月28日。</w:t>
            </w:r>
          </w:p>
          <w:p>
            <w:pPr>
              <w:spacing w:line="264" w:lineRule="auto"/>
              <w:ind w:firstLine="405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2、检查文明施工情况，如有无排放泥浆水；</w:t>
            </w:r>
          </w:p>
          <w:p>
            <w:pPr>
              <w:spacing w:line="264" w:lineRule="auto"/>
              <w:ind w:firstLine="405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3、检查工程进展情况，不得超范围、超期施工；</w:t>
            </w:r>
          </w:p>
          <w:p>
            <w:pPr>
              <w:spacing w:line="264" w:lineRule="auto"/>
              <w:ind w:firstLine="405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4、检查河道恢复情况，如驳坎、淤积情况、河中废弃桥墩是否割至河床以下。</w:t>
            </w:r>
          </w:p>
          <w:p>
            <w:pPr>
              <w:spacing w:line="264" w:lineRule="auto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264" w:lineRule="auto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264" w:lineRule="auto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264" w:lineRule="auto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264" w:lineRule="auto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264" w:lineRule="auto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264" w:lineRule="auto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264" w:lineRule="auto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264" w:lineRule="auto"/>
              <w:rPr>
                <w:rFonts w:hint="eastAsia" w:ascii="仿宋" w:hAnsi="仿宋" w:eastAsia="仿宋" w:cs="仿宋"/>
                <w:bCs/>
                <w:szCs w:val="21"/>
              </w:rPr>
            </w:pPr>
          </w:p>
          <w:p>
            <w:pPr>
              <w:spacing w:line="264" w:lineRule="auto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640" w:type="dxa"/>
            <w:vMerge w:val="restart"/>
            <w:tcBorders>
              <w:top w:val="single" w:color="auto" w:sz="2" w:space="0"/>
              <w:lef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批后监管信息</w:t>
            </w:r>
          </w:p>
        </w:tc>
        <w:tc>
          <w:tcPr>
            <w:tcW w:w="2561" w:type="dxa"/>
            <w:gridSpan w:val="2"/>
            <w:tcBorders>
              <w:top w:val="single" w:color="auto" w:sz="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养护单位</w:t>
            </w:r>
          </w:p>
        </w:tc>
        <w:tc>
          <w:tcPr>
            <w:tcW w:w="5837" w:type="dxa"/>
            <w:gridSpan w:val="4"/>
            <w:tcBorders>
              <w:top w:val="single" w:color="auto" w:sz="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eastAsia="zh-CN"/>
              </w:rPr>
              <w:t>杭州西湖区市政工程有限公司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640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  <w:tc>
          <w:tcPr>
            <w:tcW w:w="2561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val="zh-CN"/>
              </w:rPr>
              <w:t>日常监管专项负责人</w:t>
            </w:r>
          </w:p>
        </w:tc>
        <w:tc>
          <w:tcPr>
            <w:tcW w:w="238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val="zh-CN"/>
              </w:rPr>
              <w:t>名字</w:t>
            </w:r>
          </w:p>
        </w:tc>
        <w:tc>
          <w:tcPr>
            <w:tcW w:w="345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val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640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</w:p>
        </w:tc>
        <w:tc>
          <w:tcPr>
            <w:tcW w:w="2561" w:type="dxa"/>
            <w:gridSpan w:val="2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</w:p>
        </w:tc>
        <w:tc>
          <w:tcPr>
            <w:tcW w:w="2387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val="zh-CN"/>
              </w:rPr>
              <w:t>沈暘</w:t>
            </w:r>
          </w:p>
        </w:tc>
        <w:tc>
          <w:tcPr>
            <w:tcW w:w="3450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val="en-US" w:eastAsia="zh-CN"/>
              </w:rPr>
              <w:t>13958151115</w:t>
            </w: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640" w:type="dxa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</w:rPr>
              <w:t>现场照片</w:t>
            </w:r>
          </w:p>
        </w:tc>
        <w:tc>
          <w:tcPr>
            <w:tcW w:w="8398" w:type="dxa"/>
            <w:gridSpan w:val="6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highlight w:val="yellow"/>
                <w:lang w:val="zh-CN"/>
              </w:rPr>
              <w:t>附件处理。</w:t>
            </w:r>
            <w:r>
              <w:rPr>
                <w:rFonts w:hint="eastAsia" w:ascii="仿宋" w:hAnsi="仿宋" w:eastAsia="仿宋" w:cs="仿宋"/>
                <w:bCs/>
                <w:szCs w:val="21"/>
                <w:lang w:val="zh-CN"/>
              </w:rPr>
              <w:t>请附上10月16日左右的现场照片，作为已经进行过现场勘查和日后河道恢复样貌对比的依据。</w:t>
            </w: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val="zh-CN"/>
              </w:rPr>
              <w:drawing>
                <wp:inline distT="0" distB="0" distL="114300" distR="114300">
                  <wp:extent cx="1924050" cy="1438910"/>
                  <wp:effectExtent l="0" t="0" r="0" b="8890"/>
                  <wp:docPr id="1" name="图片 1" descr="F:\2018桌面\2018西湖区-批后监管检查单\2018.9.10西湖区-东环河围堰-批后监管检查单\10.16\175733631417158544.jpg1757336314171585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F:\2018桌面\2018西湖区-批后监管检查单\2018.9.10西湖区-东环河围堰-批后监管检查单\10.16\175733631417158544.jpg17573363141715854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438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bCs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bCs/>
                <w:szCs w:val="21"/>
                <w:lang w:val="zh-CN"/>
              </w:rPr>
              <w:drawing>
                <wp:inline distT="0" distB="0" distL="114300" distR="114300">
                  <wp:extent cx="1924050" cy="1438910"/>
                  <wp:effectExtent l="0" t="0" r="0" b="8890"/>
                  <wp:docPr id="3" name="图片 2" descr="F:\2018桌面\2018西湖区-批后监管检查单\2018.9.10西湖区-东环河围堰-批后监管检查单\10.16\681016413641186389.jpg6810164136411863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F:\2018桌面\2018西湖区-批后监管检查单\2018.9.10西湖区-东环河围堰-批后监管检查单\10.16\681016413641186389.jpg68101641364118638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438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</w:p>
          <w:p>
            <w:pPr>
              <w:spacing w:line="0" w:lineRule="atLeas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Cs w:val="21"/>
                <w:lang w:val="zh-CN"/>
              </w:rPr>
              <w:drawing>
                <wp:inline distT="0" distB="0" distL="114300" distR="114300">
                  <wp:extent cx="1924050" cy="1438275"/>
                  <wp:effectExtent l="0" t="0" r="0" b="9525"/>
                  <wp:docPr id="2" name="图片 3" descr="F:\2018桌面\2018西湖区-批后监管检查单\2018.9.10西湖区-东环河围堰-批后监管检查单\10.16\859872123160565341.jpg859872123160565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F:\2018桌面\2018西湖区-批后监管检查单\2018.9.10西湖区-东环河围堰-批后监管检查单\10.16\859872123160565341.jpg85987212316056534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仿宋" w:hAnsi="仿宋" w:eastAsia="仿宋" w:cs="仿宋"/>
                <w:bCs/>
                <w:szCs w:val="21"/>
                <w:lang w:val="en-US" w:eastAsia="zh-CN"/>
              </w:rPr>
              <w:t xml:space="preserve"> </w:t>
            </w:r>
            <w:bookmarkStart w:id="0" w:name="_GoBack"/>
            <w:bookmarkEnd w:id="0"/>
          </w:p>
          <w:p>
            <w:pPr>
              <w:spacing w:line="0" w:lineRule="atLeast"/>
              <w:rPr>
                <w:rFonts w:hint="eastAsia" w:ascii="仿宋" w:hAnsi="仿宋" w:eastAsia="仿宋" w:cs="仿宋"/>
                <w:bCs/>
                <w:szCs w:val="21"/>
                <w:lang w:val="zh-CN"/>
              </w:rPr>
            </w:pPr>
          </w:p>
        </w:tc>
      </w:tr>
    </w:tbl>
    <w:p>
      <w:pPr>
        <w:spacing w:line="14" w:lineRule="exact"/>
        <w:rPr>
          <w:rFonts w:hint="eastAsia" w:ascii="仿宋" w:hAnsi="仿宋" w:eastAsia="仿宋" w:cs="仿宋"/>
          <w:kern w:val="0"/>
          <w:sz w:val="28"/>
          <w:szCs w:val="28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7DE3B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pacing w:line="240" w:lineRule="auto"/>
      <w:jc w:val="left"/>
    </w:pPr>
    <w:rPr>
      <w:sz w:val="18"/>
      <w:szCs w:val="18"/>
    </w:rPr>
  </w:style>
  <w:style w:type="paragraph" w:customStyle="1" w:styleId="5">
    <w:name w:val="p17"/>
    <w:basedOn w:val="1"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win7</dc:creator>
  <cp:lastModifiedBy>慕阳</cp:lastModifiedBy>
  <dcterms:modified xsi:type="dcterms:W3CDTF">2019-07-04T06:37:26Z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